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79C76FC1" w:rsidR="00290B28" w:rsidRDefault="00E00BE3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</w:rPr>
        <w:t>Общество с ограниченной ответственностью «Флагман»</w:t>
      </w:r>
      <w:r w:rsidRPr="00C42B4E">
        <w:rPr>
          <w:rFonts w:cs="Times New Roman"/>
          <w:szCs w:val="24"/>
        </w:rPr>
        <w:t xml:space="preserve">, ОГРН 1047796309527, именуемое в дальнейшем </w:t>
      </w:r>
      <w:r w:rsidRPr="00C42B4E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27636B87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2CC22AE" w14:textId="2C20E400" w:rsidR="00463AA0" w:rsidRPr="003758AB" w:rsidRDefault="00290B28" w:rsidP="00290B2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 xml:space="preserve"> </w:t>
      </w: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77777777" w:rsidR="00463AA0" w:rsidRPr="003758AB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Характеристики </w:t>
      </w:r>
      <w:r w:rsidRPr="003758AB">
        <w:rPr>
          <w:rFonts w:cs="Times New Roman"/>
          <w:szCs w:val="24"/>
        </w:rPr>
        <w:t>Объекта долевого строительства</w:t>
      </w:r>
      <w:r w:rsidRPr="003758AB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 определяются на основании данных кадастрового инженера, полученных после обмеров завершенного строительством Объекта недвижимости и указываются в </w:t>
      </w:r>
      <w:r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>
        <w:rPr>
          <w:rFonts w:cs="Times New Roman"/>
          <w:iCs/>
          <w:szCs w:val="24"/>
        </w:rPr>
        <w:t xml:space="preserve"> Акт приема-передачи или Передаточный акт)</w:t>
      </w:r>
      <w:r w:rsidRPr="003758AB">
        <w:rPr>
          <w:rFonts w:cs="Times New Roman"/>
          <w:iCs/>
          <w:szCs w:val="24"/>
        </w:rPr>
        <w:t>,</w:t>
      </w:r>
      <w:r w:rsidRPr="003758AB">
        <w:rPr>
          <w:rFonts w:cs="Times New Roman"/>
          <w:szCs w:val="24"/>
        </w:rPr>
        <w:t xml:space="preserve"> </w:t>
      </w:r>
      <w:r w:rsidRPr="003758AB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требуется</w:t>
      </w:r>
      <w:r w:rsidRPr="003758AB">
        <w:rPr>
          <w:rFonts w:cs="Times New Roman"/>
          <w:szCs w:val="24"/>
        </w:rPr>
        <w:t>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77777777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318D5E35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пришли к соглашению о том,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 отклонения Площади Объекта долевого строительства от Проектной площади Объекта долевого строительства </w:t>
      </w:r>
      <w:r w:rsidRPr="003758AB">
        <w:rPr>
          <w:iCs/>
          <w:szCs w:val="24"/>
        </w:rPr>
        <w:t xml:space="preserve">как в сторону увеличения, так и в сторону уменьшения, сумма доплаты/возврата определяется исходя из произведения разницы Площади Объекта долевого строительства и Проектной площади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</w:t>
      </w:r>
      <w:r w:rsidRPr="003758AB">
        <w:rPr>
          <w:iCs/>
          <w:szCs w:val="24"/>
        </w:rPr>
        <w:lastRenderedPageBreak/>
        <w:t>настоящего Договора</w:t>
      </w:r>
      <w:r w:rsidRPr="003758AB">
        <w:rPr>
          <w:szCs w:val="24"/>
        </w:rPr>
        <w:t>.</w:t>
      </w:r>
    </w:p>
    <w:p w14:paraId="4C7A6D9F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0FCC4182" w14:textId="73BF7A5A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iCs/>
          <w:color w:val="000000"/>
          <w:szCs w:val="24"/>
          <w:lang w:eastAsia="en-US"/>
        </w:rPr>
        <w:t xml:space="preserve">В случае увеличения Площади Объекта долевого строительства,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</w:t>
      </w:r>
      <w:r w:rsidR="00CB3FDB">
        <w:rPr>
          <w:rFonts w:eastAsia="Calibri"/>
          <w:iCs/>
          <w:color w:val="000000"/>
          <w:szCs w:val="24"/>
          <w:lang w:eastAsia="en-US"/>
        </w:rPr>
        <w:t>1</w:t>
      </w:r>
      <w:r w:rsidRPr="003758AB">
        <w:rPr>
          <w:rFonts w:eastAsia="Calibri"/>
          <w:iCs/>
          <w:color w:val="000000"/>
          <w:szCs w:val="24"/>
          <w:lang w:eastAsia="en-US"/>
        </w:rPr>
        <w:t>0 (</w:t>
      </w:r>
      <w:r w:rsidR="00CB3FDB">
        <w:rPr>
          <w:rFonts w:eastAsia="Calibri"/>
          <w:iCs/>
          <w:color w:val="000000"/>
          <w:szCs w:val="24"/>
          <w:lang w:eastAsia="en-US"/>
        </w:rPr>
        <w:t>Десять</w:t>
      </w:r>
      <w:r w:rsidRPr="003758AB">
        <w:rPr>
          <w:rFonts w:eastAsia="Calibri"/>
          <w:iCs/>
          <w:color w:val="000000"/>
          <w:szCs w:val="24"/>
          <w:lang w:eastAsia="en-US"/>
        </w:rPr>
        <w:t xml:space="preserve">) дней после получения письменного уведомления Застройщика о данных </w:t>
      </w:r>
      <w:r w:rsidRPr="003758AB">
        <w:rPr>
          <w:rFonts w:eastAsia="Calibri"/>
          <w:bCs/>
          <w:iCs/>
          <w:color w:val="000000"/>
          <w:szCs w:val="24"/>
          <w:lang w:eastAsia="en-US"/>
        </w:rPr>
        <w:t>обмеров</w:t>
      </w:r>
      <w:r w:rsidRPr="003758AB">
        <w:rPr>
          <w:rFonts w:eastAsia="Calibri"/>
          <w:color w:val="000000"/>
          <w:szCs w:val="24"/>
          <w:lang w:eastAsia="en-US"/>
        </w:rPr>
        <w:t xml:space="preserve"> </w:t>
      </w:r>
      <w:r w:rsidRPr="003758AB">
        <w:rPr>
          <w:rFonts w:eastAsia="Calibri"/>
          <w:bCs/>
          <w:iCs/>
          <w:color w:val="000000"/>
          <w:szCs w:val="24"/>
          <w:lang w:eastAsia="en-US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3758AB">
        <w:rPr>
          <w:rFonts w:eastAsia="Calibri"/>
          <w:iCs/>
          <w:color w:val="000000"/>
          <w:szCs w:val="24"/>
          <w:lang w:eastAsia="en-US"/>
        </w:rPr>
        <w:t>, но не позднее подписания Акта приема-передачи Объекта долевого строительства</w:t>
      </w:r>
      <w:r w:rsidRPr="003758AB">
        <w:rPr>
          <w:szCs w:val="24"/>
        </w:rPr>
        <w:t>.</w:t>
      </w:r>
    </w:p>
    <w:p w14:paraId="4D56A5D7" w14:textId="5C22CA88" w:rsidR="00333792" w:rsidRDefault="0033379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В случае уменьшения </w:t>
      </w:r>
      <w:r>
        <w:rPr>
          <w:rFonts w:eastAsia="Calibri"/>
          <w:iCs/>
          <w:color w:val="000000"/>
          <w:szCs w:val="24"/>
          <w:lang w:eastAsia="en-US"/>
        </w:rPr>
        <w:t>П</w:t>
      </w:r>
      <w:r w:rsidRPr="00DC031C">
        <w:rPr>
          <w:rFonts w:eastAsia="Calibri"/>
          <w:iCs/>
          <w:color w:val="000000"/>
          <w:szCs w:val="24"/>
          <w:lang w:eastAsia="en-US"/>
        </w:rPr>
        <w:t>лощади Объекта долевого строительства по отношению к Проектной площади Объекта долевого строительства</w:t>
      </w:r>
      <w:r w:rsidRPr="00A15F24">
        <w:rPr>
          <w:szCs w:val="24"/>
        </w:rPr>
        <w:t xml:space="preserve"> Цена Договора подлежит уменьшению на сумму, составляющую разницу между </w:t>
      </w:r>
      <w:r>
        <w:rPr>
          <w:szCs w:val="24"/>
        </w:rPr>
        <w:t>Ц</w:t>
      </w:r>
      <w:r w:rsidRPr="00A15F24">
        <w:rPr>
          <w:szCs w:val="24"/>
        </w:rPr>
        <w:t>еной</w:t>
      </w:r>
      <w:r>
        <w:rPr>
          <w:szCs w:val="24"/>
        </w:rPr>
        <w:t xml:space="preserve"> Договора</w:t>
      </w:r>
      <w:r w:rsidRPr="00A15F24">
        <w:rPr>
          <w:szCs w:val="24"/>
        </w:rPr>
        <w:t>, указанной в п.</w:t>
      </w:r>
      <w:r>
        <w:rPr>
          <w:szCs w:val="24"/>
        </w:rPr>
        <w:t xml:space="preserve"> </w:t>
      </w:r>
      <w:r w:rsidRPr="00A15F24">
        <w:rPr>
          <w:szCs w:val="24"/>
        </w:rPr>
        <w:t xml:space="preserve">4.1. настоящего Договора и </w:t>
      </w:r>
      <w:r>
        <w:rPr>
          <w:szCs w:val="24"/>
        </w:rPr>
        <w:t xml:space="preserve">ценой, </w:t>
      </w:r>
      <w:r w:rsidRPr="00A15F24">
        <w:rPr>
          <w:szCs w:val="24"/>
        </w:rPr>
        <w:t xml:space="preserve">рассчитанной исходя из </w:t>
      </w:r>
      <w:r w:rsidR="009C2230">
        <w:rPr>
          <w:szCs w:val="24"/>
        </w:rPr>
        <w:t>П</w:t>
      </w:r>
      <w:r w:rsidRPr="00A15F24">
        <w:rPr>
          <w:szCs w:val="24"/>
        </w:rPr>
        <w:t>лощади Объекта долевого строительства</w:t>
      </w:r>
      <w:r>
        <w:rPr>
          <w:szCs w:val="24"/>
        </w:rPr>
        <w:t>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</w:t>
      </w:r>
      <w:r w:rsidRPr="00A93D94">
        <w:rPr>
          <w:szCs w:val="24"/>
        </w:rPr>
        <w:t xml:space="preserve"> </w:t>
      </w:r>
      <w:r>
        <w:rPr>
          <w:szCs w:val="24"/>
        </w:rPr>
        <w:t>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предоставления реквизитов счета Участником долевого строительства</w:t>
      </w:r>
      <w:r w:rsidR="009C2230">
        <w:rPr>
          <w:szCs w:val="24"/>
        </w:rPr>
        <w:t>.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1136A659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>ХХ ХХХХ ХХХХ</w:t>
      </w:r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 xml:space="preserve">В целях соблюдения норм ФЗ № 214-ФЗ Стороны пришли к соглашению о том, что в </w:t>
      </w:r>
      <w:r w:rsidRPr="00755D15">
        <w:rPr>
          <w:szCs w:val="24"/>
        </w:rPr>
        <w:lastRenderedPageBreak/>
        <w:t>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3758AB">
        <w:rPr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14:paraId="7AEBA92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направлено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17F7AF09" w14:textId="77777777" w:rsidR="00E00BE3" w:rsidRPr="00E00BE3" w:rsidRDefault="00E00BE3" w:rsidP="00E00BE3">
      <w:pPr>
        <w:pStyle w:val="a9"/>
        <w:keepNext/>
        <w:keepLines/>
        <w:ind w:left="480"/>
        <w:jc w:val="both"/>
        <w:rPr>
          <w:rFonts w:cs="Times New Roman"/>
          <w:b/>
          <w:bCs/>
          <w:szCs w:val="24"/>
        </w:rPr>
      </w:pPr>
      <w:r w:rsidRPr="00E00BE3">
        <w:rPr>
          <w:rFonts w:cs="Times New Roman"/>
          <w:b/>
        </w:rPr>
        <w:t>Общество с ограниченной ответственностью «Флагман»</w:t>
      </w:r>
    </w:p>
    <w:p w14:paraId="1402B1BB" w14:textId="77777777" w:rsidR="00E00BE3" w:rsidRPr="00E00BE3" w:rsidRDefault="00E00BE3" w:rsidP="00E00BE3">
      <w:pPr>
        <w:pStyle w:val="a9"/>
        <w:keepNext/>
        <w:keepLines/>
        <w:ind w:left="480"/>
        <w:jc w:val="both"/>
        <w:rPr>
          <w:rFonts w:cs="Times New Roman"/>
          <w:b/>
          <w:szCs w:val="24"/>
        </w:rPr>
      </w:pPr>
      <w:r w:rsidRPr="00E00BE3">
        <w:rPr>
          <w:rFonts w:cs="Times New Roman"/>
          <w:szCs w:val="24"/>
        </w:rPr>
        <w:t>ОГРН 1047796309527, ИНН 7719515280, КПП 503801001, адрес: 141200, Московская обл., г. Пушкино, автодорога Ярославское шоссе, 36 км, вл. 1, стр. 1</w:t>
      </w:r>
      <w:r w:rsidRPr="00E00BE3">
        <w:rPr>
          <w:rFonts w:cs="Times New Roman"/>
          <w:snapToGrid w:val="0"/>
          <w:szCs w:val="24"/>
        </w:rPr>
        <w:t>.</w:t>
      </w:r>
    </w:p>
    <w:p w14:paraId="0F972C7A" w14:textId="46691505" w:rsidR="00463AA0" w:rsidRPr="00E00BE3" w:rsidRDefault="00E00BE3" w:rsidP="00E00BE3">
      <w:pPr>
        <w:pStyle w:val="a9"/>
        <w:keepLines/>
        <w:ind w:left="480"/>
        <w:jc w:val="both"/>
        <w:rPr>
          <w:rFonts w:cs="Times New Roman"/>
          <w:bCs/>
          <w:szCs w:val="24"/>
        </w:rPr>
      </w:pPr>
      <w:r w:rsidRPr="00E00BE3">
        <w:rPr>
          <w:rFonts w:cs="Times New Roman"/>
          <w:szCs w:val="24"/>
        </w:rPr>
        <w:t>Адрес для направления корреспонденции: 141200, Московская обл., г. Пушкино, автодорога Ярославское шоссе, 36 км, вл. 1, стр. 1.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  <w:bookmarkStart w:id="0" w:name="_GoBack"/>
      <w:bookmarkEnd w:id="0"/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E00BE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E00BE3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C85F88E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E00BE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3E0F" w14:textId="77777777" w:rsidR="00B40E97" w:rsidRDefault="00B40E97" w:rsidP="00B40E97">
      <w:r>
        <w:separator/>
      </w:r>
    </w:p>
  </w:endnote>
  <w:endnote w:type="continuationSeparator" w:id="0">
    <w:p w14:paraId="16759D31" w14:textId="77777777" w:rsidR="00B40E97" w:rsidRDefault="00B40E9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73775E71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E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40DF" w14:textId="77777777" w:rsidR="00B40E97" w:rsidRDefault="00B40E97" w:rsidP="00B40E97">
      <w:r>
        <w:separator/>
      </w:r>
    </w:p>
  </w:footnote>
  <w:footnote w:type="continuationSeparator" w:id="0">
    <w:p w14:paraId="572C7D35" w14:textId="77777777" w:rsidR="00B40E97" w:rsidRDefault="00B40E9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E00BE3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E00BE3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E00BE3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2103D4"/>
    <w:rsid w:val="00234B21"/>
    <w:rsid w:val="00254304"/>
    <w:rsid w:val="00290B28"/>
    <w:rsid w:val="002E0B8D"/>
    <w:rsid w:val="003226B9"/>
    <w:rsid w:val="00333792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D4FD1"/>
    <w:rsid w:val="00835198"/>
    <w:rsid w:val="0084121F"/>
    <w:rsid w:val="0084322A"/>
    <w:rsid w:val="008456C6"/>
    <w:rsid w:val="008B26F7"/>
    <w:rsid w:val="008F190F"/>
    <w:rsid w:val="009158D6"/>
    <w:rsid w:val="0094616A"/>
    <w:rsid w:val="00964F03"/>
    <w:rsid w:val="0096667E"/>
    <w:rsid w:val="0096798F"/>
    <w:rsid w:val="00974FAB"/>
    <w:rsid w:val="00985A32"/>
    <w:rsid w:val="009922E0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5AB1"/>
    <w:rsid w:val="00B97D65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0BE3"/>
    <w:rsid w:val="00E022E6"/>
    <w:rsid w:val="00E14CD7"/>
    <w:rsid w:val="00E33AA1"/>
    <w:rsid w:val="00E40CB5"/>
    <w:rsid w:val="00E51E81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D6BAB0-301B-412B-98A9-FB45E0E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2</cp:revision>
  <dcterms:created xsi:type="dcterms:W3CDTF">2019-10-31T12:51:00Z</dcterms:created>
  <dcterms:modified xsi:type="dcterms:W3CDTF">2019-10-31T12:51:00Z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